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B8" w:rsidRPr="00AA74A4" w:rsidRDefault="009A18B8" w:rsidP="009A18B8">
      <w:pPr>
        <w:pStyle w:val="Title"/>
        <w:spacing w:before="120" w:after="120"/>
        <w:ind w:left="0" w:hanging="15"/>
        <w:jc w:val="center"/>
        <w:rPr>
          <w:color w:val="000000" w:themeColor="text1"/>
          <w:sz w:val="22"/>
          <w:szCs w:val="22"/>
        </w:rPr>
      </w:pPr>
      <w:r w:rsidRPr="00AA74A4">
        <w:rPr>
          <w:color w:val="000000" w:themeColor="text1"/>
          <w:sz w:val="22"/>
          <w:szCs w:val="22"/>
        </w:rPr>
        <w:t>WEBER COUNTY</w:t>
      </w:r>
      <w:r w:rsidRPr="00AA74A4">
        <w:rPr>
          <w:color w:val="000000" w:themeColor="text1"/>
          <w:spacing w:val="80"/>
          <w:sz w:val="22"/>
          <w:szCs w:val="22"/>
        </w:rPr>
        <w:t xml:space="preserve"> </w:t>
      </w:r>
      <w:r w:rsidRPr="00AA74A4">
        <w:rPr>
          <w:color w:val="000000" w:themeColor="text1"/>
          <w:sz w:val="22"/>
          <w:szCs w:val="22"/>
        </w:rPr>
        <w:t>ORDINANCE 202</w:t>
      </w:r>
      <w:r>
        <w:rPr>
          <w:color w:val="000000" w:themeColor="text1"/>
          <w:sz w:val="22"/>
          <w:szCs w:val="22"/>
        </w:rPr>
        <w:t>3</w:t>
      </w:r>
      <w:r w:rsidRPr="00AA74A4">
        <w:rPr>
          <w:color w:val="000000" w:themeColor="text1"/>
          <w:sz w:val="22"/>
          <w:szCs w:val="22"/>
        </w:rPr>
        <w:t>-___</w:t>
      </w:r>
    </w:p>
    <w:p w:rsidR="009A18B8" w:rsidRPr="00AA74A4" w:rsidRDefault="009A18B8" w:rsidP="009A18B8">
      <w:pPr>
        <w:pStyle w:val="Title"/>
        <w:spacing w:before="120" w:after="120"/>
        <w:ind w:left="0" w:hanging="15"/>
        <w:jc w:val="center"/>
        <w:rPr>
          <w:color w:val="000000" w:themeColor="text1"/>
          <w:sz w:val="22"/>
          <w:szCs w:val="22"/>
        </w:rPr>
      </w:pPr>
    </w:p>
    <w:p w:rsidR="009A18B8" w:rsidRPr="00AA74A4" w:rsidRDefault="009A18B8" w:rsidP="009A18B8">
      <w:pPr>
        <w:pStyle w:val="Title"/>
        <w:spacing w:before="120" w:after="120"/>
        <w:ind w:left="0" w:hanging="15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Pr="00AA74A4">
        <w:rPr>
          <w:color w:val="000000" w:themeColor="text1"/>
          <w:sz w:val="22"/>
          <w:szCs w:val="22"/>
        </w:rPr>
        <w:t xml:space="preserve">N ORDINANCE AMENDING THE COUNTY’S LAND USE </w:t>
      </w:r>
      <w:r>
        <w:rPr>
          <w:color w:val="000000" w:themeColor="text1"/>
          <w:sz w:val="22"/>
          <w:szCs w:val="22"/>
        </w:rPr>
        <w:t>CODE</w:t>
      </w:r>
      <w:r>
        <w:rPr>
          <w:color w:val="000000" w:themeColor="text1"/>
          <w:sz w:val="22"/>
          <w:szCs w:val="22"/>
        </w:rPr>
        <w:t xml:space="preserve">, CHANGING CERTAIN </w:t>
      </w:r>
      <w:r>
        <w:rPr>
          <w:color w:val="000000" w:themeColor="text1"/>
          <w:sz w:val="22"/>
          <w:szCs w:val="22"/>
        </w:rPr>
        <w:t xml:space="preserve">PORTIONS OF SECTION </w:t>
      </w:r>
      <w:r w:rsidRPr="009A18B8">
        <w:rPr>
          <w:color w:val="000000" w:themeColor="text1"/>
          <w:sz w:val="22"/>
          <w:szCs w:val="22"/>
        </w:rPr>
        <w:t>104-21-3, MANUFACTURING ZONES LAND USE TABLES, PROVIDING FOR THE ALLOWANCE OF “DATA SERVICES: DATA CENTERS, DATA WAREHOUSING, DATA PROCESSING” AS A PERMITTED USE IN THE ZONE</w:t>
      </w:r>
      <w:r>
        <w:rPr>
          <w:color w:val="000000" w:themeColor="text1"/>
          <w:sz w:val="22"/>
          <w:szCs w:val="22"/>
        </w:rPr>
        <w:t>S</w:t>
      </w:r>
      <w:r w:rsidRPr="009A18B8">
        <w:rPr>
          <w:color w:val="000000" w:themeColor="text1"/>
        </w:rPr>
        <w:t xml:space="preserve"> </w:t>
      </w:r>
      <w:r w:rsidRPr="00F40CD1">
        <w:rPr>
          <w:color w:val="000000" w:themeColor="text1"/>
        </w:rPr>
        <w:t xml:space="preserve">AND PROVIDING OTHER ADMINISTRATIVE AND CLERICAL </w:t>
      </w:r>
      <w:r>
        <w:rPr>
          <w:color w:val="000000" w:themeColor="text1"/>
        </w:rPr>
        <w:t>EDITS.</w:t>
      </w:r>
      <w:r w:rsidRPr="009A18B8">
        <w:rPr>
          <w:color w:val="000000" w:themeColor="text1"/>
          <w:sz w:val="22"/>
          <w:szCs w:val="22"/>
        </w:rPr>
        <w:t>.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  <w:r w:rsidRPr="00F40CD1">
        <w:rPr>
          <w:color w:val="000000" w:themeColor="text1"/>
          <w:spacing w:val="-2"/>
        </w:rPr>
        <w:t xml:space="preserve">WHEREAS, </w:t>
      </w:r>
      <w:r w:rsidRPr="00F40CD1">
        <w:rPr>
          <w:b w:val="0"/>
          <w:color w:val="000000" w:themeColor="text1"/>
          <w:spacing w:val="-2"/>
        </w:rPr>
        <w:t>the County has an interest in regulating zoning districts in the unincorporated areas of the County to promote the orderly and regular development and use of property; and,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  <w:r w:rsidRPr="00F40CD1">
        <w:rPr>
          <w:color w:val="000000" w:themeColor="text1"/>
          <w:spacing w:val="-2"/>
        </w:rPr>
        <w:t xml:space="preserve">WHEREAS, </w:t>
      </w:r>
      <w:r w:rsidRPr="00F40CD1">
        <w:rPr>
          <w:b w:val="0"/>
          <w:color w:val="000000" w:themeColor="text1"/>
          <w:spacing w:val="-2"/>
        </w:rPr>
        <w:t>State Code Section 17-27a-502 (1) states that a planning commission shall provide notice, hold a public hearing, and forward a recommendation to the legislative body</w:t>
      </w:r>
      <w:r>
        <w:rPr>
          <w:b w:val="0"/>
          <w:color w:val="000000" w:themeColor="text1"/>
          <w:spacing w:val="-2"/>
        </w:rPr>
        <w:t xml:space="preserve"> for all proposed land use regulation changes</w:t>
      </w:r>
      <w:r w:rsidRPr="00F40CD1">
        <w:rPr>
          <w:b w:val="0"/>
          <w:color w:val="000000" w:themeColor="text1"/>
          <w:spacing w:val="-2"/>
        </w:rPr>
        <w:t>; and,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  <w:r w:rsidRPr="00F40CD1">
        <w:rPr>
          <w:color w:val="000000" w:themeColor="text1"/>
          <w:spacing w:val="-2"/>
        </w:rPr>
        <w:t xml:space="preserve">WHEREAS, </w:t>
      </w:r>
      <w:r>
        <w:rPr>
          <w:b w:val="0"/>
          <w:color w:val="000000" w:themeColor="text1"/>
          <w:spacing w:val="-2"/>
        </w:rPr>
        <w:t>on August 8, 2023</w:t>
      </w:r>
      <w:r w:rsidRPr="00F40CD1">
        <w:rPr>
          <w:b w:val="0"/>
          <w:color w:val="000000" w:themeColor="text1"/>
          <w:spacing w:val="-2"/>
        </w:rPr>
        <w:t>, the Western Weber Planning Commission, after proper notice of the meeting, held a public hearing to receive comment about the proposed ordinance changes; and,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  <w:r w:rsidRPr="00F40CD1">
        <w:rPr>
          <w:color w:val="000000" w:themeColor="text1"/>
          <w:spacing w:val="-2"/>
        </w:rPr>
        <w:t xml:space="preserve">WHEREAS, </w:t>
      </w:r>
      <w:r w:rsidRPr="00F40CD1">
        <w:rPr>
          <w:b w:val="0"/>
          <w:color w:val="000000" w:themeColor="text1"/>
          <w:spacing w:val="-2"/>
        </w:rPr>
        <w:t>in that meeting, the Planning Commission voted to forward a positive recommendation to the County Commission; and,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color w:val="000000" w:themeColor="text1"/>
          <w:spacing w:val="-2"/>
        </w:rPr>
      </w:pPr>
    </w:p>
    <w:p w:rsidR="009A18B8" w:rsidRPr="00F40CD1" w:rsidRDefault="009A18B8" w:rsidP="009A18B8">
      <w:pPr>
        <w:pStyle w:val="Title"/>
        <w:spacing w:before="120" w:after="120"/>
        <w:ind w:left="0"/>
        <w:rPr>
          <w:b w:val="0"/>
          <w:color w:val="000000" w:themeColor="text1"/>
          <w:spacing w:val="-2"/>
        </w:rPr>
      </w:pPr>
      <w:r w:rsidRPr="00F40CD1">
        <w:rPr>
          <w:color w:val="000000" w:themeColor="text1"/>
          <w:spacing w:val="-2"/>
        </w:rPr>
        <w:t xml:space="preserve">WHEREAS, </w:t>
      </w:r>
      <w:r w:rsidRPr="00F40CD1">
        <w:rPr>
          <w:b w:val="0"/>
          <w:color w:val="000000" w:themeColor="text1"/>
          <w:spacing w:val="-2"/>
        </w:rPr>
        <w:t>State Code Section 17-27a-502 (2) states that the legislative body shall consider each propose</w:t>
      </w:r>
      <w:r>
        <w:rPr>
          <w:b w:val="0"/>
          <w:color w:val="000000" w:themeColor="text1"/>
          <w:spacing w:val="-2"/>
        </w:rPr>
        <w:t>d</w:t>
      </w:r>
      <w:r w:rsidRPr="00F40CD1">
        <w:rPr>
          <w:b w:val="0"/>
          <w:color w:val="000000" w:themeColor="text1"/>
          <w:spacing w:val="-2"/>
        </w:rPr>
        <w:t xml:space="preserve"> land use regulation that the Planning Commission has forwarded; and,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color w:val="000000" w:themeColor="text1"/>
        </w:rPr>
      </w:pPr>
    </w:p>
    <w:p w:rsidR="009A18B8" w:rsidRPr="00F40CD1" w:rsidRDefault="009A18B8" w:rsidP="009A18B8">
      <w:pPr>
        <w:pStyle w:val="Title"/>
        <w:spacing w:before="120" w:after="120"/>
        <w:ind w:left="0"/>
        <w:rPr>
          <w:color w:val="000000" w:themeColor="text1"/>
          <w:spacing w:val="-2"/>
        </w:rPr>
      </w:pPr>
      <w:r w:rsidRPr="00F40CD1">
        <w:rPr>
          <w:color w:val="000000" w:themeColor="text1"/>
          <w:spacing w:val="-2"/>
        </w:rPr>
        <w:t xml:space="preserve">WHEREAS, </w:t>
      </w:r>
      <w:r w:rsidRPr="00F40CD1">
        <w:rPr>
          <w:b w:val="0"/>
          <w:color w:val="000000" w:themeColor="text1"/>
          <w:spacing w:val="-2"/>
        </w:rPr>
        <w:t>the County wishes to comply with all appertaining State regulations and codes related to ordinance amendments; and,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color w:val="000000" w:themeColor="text1"/>
        </w:rPr>
      </w:pPr>
    </w:p>
    <w:p w:rsidR="009A18B8" w:rsidRPr="00F40CD1" w:rsidRDefault="009A18B8" w:rsidP="009A18B8">
      <w:pPr>
        <w:pStyle w:val="Title"/>
        <w:spacing w:before="120" w:after="120"/>
        <w:ind w:left="0"/>
        <w:rPr>
          <w:color w:val="000000" w:themeColor="text1"/>
        </w:rPr>
      </w:pPr>
      <w:r w:rsidRPr="00F40CD1">
        <w:rPr>
          <w:color w:val="000000" w:themeColor="text1"/>
          <w:spacing w:val="-2"/>
        </w:rPr>
        <w:t xml:space="preserve">WHEREAS, </w:t>
      </w:r>
      <w:r w:rsidRPr="00F40CD1">
        <w:rPr>
          <w:b w:val="0"/>
          <w:color w:val="000000" w:themeColor="text1"/>
          <w:spacing w:val="-2"/>
        </w:rPr>
        <w:t>residents of the County have a right to quiet use and enjoyment of their property, including regulating the establishment and use of manufacturing zones and those properties nearby;</w:t>
      </w:r>
    </w:p>
    <w:p w:rsidR="009A18B8" w:rsidRPr="00F40CD1" w:rsidRDefault="009A18B8" w:rsidP="009A18B8">
      <w:pPr>
        <w:pStyle w:val="Title"/>
        <w:spacing w:before="120" w:after="120"/>
        <w:ind w:left="0"/>
        <w:rPr>
          <w:color w:val="000000" w:themeColor="text1"/>
        </w:rPr>
      </w:pPr>
    </w:p>
    <w:p w:rsidR="009A18B8" w:rsidRDefault="009A18B8" w:rsidP="009A18B8">
      <w:pPr>
        <w:pStyle w:val="BodyText"/>
        <w:spacing w:before="120" w:after="120"/>
        <w:ind w:right="548"/>
      </w:pPr>
      <w:r w:rsidRPr="00F40CD1">
        <w:rPr>
          <w:b/>
          <w:color w:val="000000" w:themeColor="text1"/>
        </w:rPr>
        <w:t>NOW</w:t>
      </w:r>
      <w:r w:rsidRPr="00F40CD1">
        <w:rPr>
          <w:b/>
          <w:color w:val="000000" w:themeColor="text1"/>
          <w:spacing w:val="-8"/>
        </w:rPr>
        <w:t xml:space="preserve"> </w:t>
      </w:r>
      <w:r w:rsidRPr="00F40CD1">
        <w:rPr>
          <w:b/>
          <w:color w:val="000000" w:themeColor="text1"/>
        </w:rPr>
        <w:t>THEREFORE,</w:t>
      </w:r>
      <w:r w:rsidRPr="00F40CD1">
        <w:rPr>
          <w:b/>
          <w:color w:val="000000" w:themeColor="text1"/>
          <w:spacing w:val="-8"/>
        </w:rPr>
        <w:t xml:space="preserve"> </w:t>
      </w:r>
      <w:r w:rsidRPr="00F40CD1">
        <w:rPr>
          <w:color w:val="000000" w:themeColor="text1"/>
        </w:rPr>
        <w:t>be</w:t>
      </w:r>
      <w:r w:rsidRPr="00F40CD1">
        <w:rPr>
          <w:color w:val="000000" w:themeColor="text1"/>
          <w:spacing w:val="-10"/>
        </w:rPr>
        <w:t xml:space="preserve"> </w:t>
      </w:r>
      <w:r w:rsidRPr="00F40CD1">
        <w:rPr>
          <w:color w:val="000000" w:themeColor="text1"/>
        </w:rPr>
        <w:t>it</w:t>
      </w:r>
      <w:r w:rsidRPr="00F40CD1">
        <w:rPr>
          <w:color w:val="000000" w:themeColor="text1"/>
          <w:spacing w:val="-14"/>
        </w:rPr>
        <w:t xml:space="preserve"> </w:t>
      </w:r>
      <w:r w:rsidRPr="00F40CD1">
        <w:rPr>
          <w:color w:val="000000" w:themeColor="text1"/>
        </w:rPr>
        <w:t>ordained</w:t>
      </w:r>
      <w:r w:rsidRPr="00F40CD1">
        <w:rPr>
          <w:color w:val="000000" w:themeColor="text1"/>
          <w:spacing w:val="-8"/>
        </w:rPr>
        <w:t xml:space="preserve"> </w:t>
      </w:r>
      <w:r w:rsidRPr="00F40CD1">
        <w:rPr>
          <w:color w:val="000000" w:themeColor="text1"/>
        </w:rPr>
        <w:t>by</w:t>
      </w:r>
      <w:r w:rsidRPr="00F40CD1">
        <w:rPr>
          <w:color w:val="000000" w:themeColor="text1"/>
          <w:spacing w:val="-8"/>
        </w:rPr>
        <w:t xml:space="preserve"> </w:t>
      </w:r>
      <w:r w:rsidRPr="00F40CD1">
        <w:rPr>
          <w:color w:val="000000" w:themeColor="text1"/>
        </w:rPr>
        <w:t>the</w:t>
      </w:r>
      <w:r w:rsidRPr="00F40CD1">
        <w:rPr>
          <w:color w:val="000000" w:themeColor="text1"/>
          <w:spacing w:val="-10"/>
        </w:rPr>
        <w:t xml:space="preserve"> </w:t>
      </w:r>
      <w:r w:rsidRPr="00F40CD1">
        <w:rPr>
          <w:color w:val="000000" w:themeColor="text1"/>
        </w:rPr>
        <w:t>Board</w:t>
      </w:r>
      <w:r w:rsidRPr="00F40CD1">
        <w:rPr>
          <w:color w:val="000000" w:themeColor="text1"/>
          <w:spacing w:val="-8"/>
        </w:rPr>
        <w:t xml:space="preserve"> </w:t>
      </w:r>
      <w:r w:rsidRPr="00F40CD1">
        <w:rPr>
          <w:color w:val="000000" w:themeColor="text1"/>
        </w:rPr>
        <w:t>of</w:t>
      </w:r>
      <w:r w:rsidRPr="00F40CD1">
        <w:rPr>
          <w:color w:val="000000" w:themeColor="text1"/>
          <w:spacing w:val="-12"/>
        </w:rPr>
        <w:t xml:space="preserve"> </w:t>
      </w:r>
      <w:r w:rsidRPr="00F40CD1">
        <w:rPr>
          <w:color w:val="000000" w:themeColor="text1"/>
        </w:rPr>
        <w:t>County</w:t>
      </w:r>
      <w:r w:rsidRPr="00F40CD1">
        <w:rPr>
          <w:color w:val="000000" w:themeColor="text1"/>
          <w:spacing w:val="-8"/>
        </w:rPr>
        <w:t xml:space="preserve"> </w:t>
      </w:r>
      <w:r w:rsidRPr="00F40CD1">
        <w:rPr>
          <w:color w:val="000000" w:themeColor="text1"/>
        </w:rPr>
        <w:t>Commissioners</w:t>
      </w:r>
      <w:r w:rsidRPr="00F40CD1">
        <w:rPr>
          <w:color w:val="000000" w:themeColor="text1"/>
          <w:spacing w:val="-11"/>
        </w:rPr>
        <w:t xml:space="preserve"> </w:t>
      </w:r>
      <w:r w:rsidRPr="00F40CD1">
        <w:rPr>
          <w:color w:val="000000" w:themeColor="text1"/>
        </w:rPr>
        <w:t>of Weber County, in the State of Utah, as follows</w:t>
      </w:r>
      <w:r>
        <w:rPr>
          <w:color w:val="000000" w:themeColor="text1"/>
        </w:rPr>
        <w:t xml:space="preserve"> in Exhibit A. </w:t>
      </w:r>
      <w:r w:rsidRPr="00B0743C">
        <w:t xml:space="preserve">The Weber County Board of Commissioners also delegates authority to staff to reformat the </w:t>
      </w:r>
      <w:r>
        <w:t>ordinance</w:t>
      </w:r>
      <w:r w:rsidRPr="00B0743C">
        <w:t xml:space="preserve"> attached hereto for public publishing purposes and in doing so make any clerical or administrative edits necessary to produce a pr</w:t>
      </w:r>
      <w:r>
        <w:t>ofessionally published document:</w:t>
      </w:r>
    </w:p>
    <w:p w:rsidR="009A18B8" w:rsidRDefault="009A18B8" w:rsidP="009A18B8">
      <w:pPr>
        <w:pStyle w:val="BodyText"/>
        <w:spacing w:before="120" w:after="120"/>
        <w:ind w:right="548"/>
      </w:pPr>
    </w:p>
    <w:p w:rsidR="009A18B8" w:rsidRDefault="009A18B8" w:rsidP="009A18B8">
      <w:pPr>
        <w:pStyle w:val="BodyText"/>
        <w:spacing w:before="120" w:after="120"/>
        <w:ind w:right="548"/>
      </w:pPr>
    </w:p>
    <w:p w:rsidR="009A18B8" w:rsidRDefault="009A18B8" w:rsidP="009A18B8">
      <w:pPr>
        <w:pStyle w:val="BodyText"/>
        <w:spacing w:before="120" w:after="120"/>
        <w:ind w:right="548"/>
      </w:pPr>
    </w:p>
    <w:p w:rsidR="009A18B8" w:rsidRDefault="009A18B8" w:rsidP="009A18B8">
      <w:pPr>
        <w:pStyle w:val="BodyText"/>
        <w:spacing w:before="120" w:after="120"/>
        <w:ind w:right="548"/>
        <w:jc w:val="center"/>
        <w:sectPr w:rsidR="009A18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A18B8" w:rsidRDefault="009A18B8" w:rsidP="009A18B8">
      <w:pPr>
        <w:pStyle w:val="BodyText"/>
        <w:spacing w:before="120" w:after="120"/>
        <w:ind w:right="548"/>
        <w:jc w:val="center"/>
        <w:rPr>
          <w:color w:val="000000" w:themeColor="text1"/>
        </w:rPr>
      </w:pPr>
      <w:r>
        <w:lastRenderedPageBreak/>
        <w:t>EXHIBIT A</w:t>
      </w:r>
    </w:p>
    <w:p w:rsidR="009A18B8" w:rsidRDefault="009A18B8" w:rsidP="009A18B8">
      <w:pPr>
        <w:shd w:val="clear" w:color="auto" w:fill="FFFFFF"/>
        <w:spacing w:after="0"/>
        <w:rPr>
          <w:rFonts w:ascii="Roboto Slab" w:hAnsi="Roboto Slab"/>
          <w:b/>
          <w:bCs/>
          <w:color w:val="515967"/>
        </w:rPr>
      </w:pPr>
      <w:hyperlink r:id="rId4" w:anchor="name=Sec_104-21-3.040_Commercial_Services_Table" w:history="1">
        <w:r>
          <w:rPr>
            <w:rStyle w:val="Hyperlink"/>
            <w:rFonts w:ascii="Roboto Slab" w:hAnsi="Roboto Slab"/>
            <w:b/>
            <w:bCs/>
            <w:color w:val="000000"/>
          </w:rPr>
          <w:t>Sec 104-21-3.040 Commercial Services Table</w:t>
        </w:r>
      </w:hyperlink>
    </w:p>
    <w:tbl>
      <w:tblPr>
        <w:tblW w:w="143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612"/>
        <w:gridCol w:w="615"/>
        <w:gridCol w:w="612"/>
        <w:gridCol w:w="612"/>
        <w:gridCol w:w="612"/>
        <w:gridCol w:w="4512"/>
      </w:tblGrid>
      <w:tr w:rsidR="009A18B8" w:rsidTr="009A18B8">
        <w:trPr>
          <w:trHeight w:val="270"/>
        </w:trPr>
        <w:tc>
          <w:tcPr>
            <w:tcW w:w="6735" w:type="dxa"/>
            <w:shd w:val="clear" w:color="auto" w:fill="A9A9A9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color w:val="515967"/>
              </w:rPr>
              <w:t>USE</w:t>
            </w:r>
            <w:r>
              <w:rPr>
                <w:rFonts w:ascii="Roboto Slab" w:hAnsi="Roboto Slab"/>
                <w:b/>
                <w:bCs/>
                <w:color w:val="515967"/>
              </w:rPr>
              <w:br/>
            </w:r>
          </w:p>
        </w:tc>
        <w:tc>
          <w:tcPr>
            <w:tcW w:w="612" w:type="dxa"/>
            <w:shd w:val="clear" w:color="auto" w:fill="A9A9A9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color w:val="515967"/>
              </w:rPr>
              <w:t>M-T</w:t>
            </w:r>
            <w:r>
              <w:rPr>
                <w:rFonts w:ascii="Roboto Slab" w:hAnsi="Roboto Slab"/>
                <w:b/>
                <w:bCs/>
                <w:color w:val="515967"/>
              </w:rPr>
              <w:br/>
            </w:r>
          </w:p>
        </w:tc>
        <w:tc>
          <w:tcPr>
            <w:tcW w:w="615" w:type="dxa"/>
            <w:shd w:val="clear" w:color="auto" w:fill="A9A9A9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color w:val="515967"/>
              </w:rPr>
              <w:t>MV-1</w:t>
            </w:r>
            <w:r>
              <w:rPr>
                <w:rFonts w:ascii="Roboto Slab" w:hAnsi="Roboto Slab"/>
                <w:b/>
                <w:bCs/>
                <w:color w:val="515967"/>
              </w:rPr>
              <w:br/>
            </w:r>
          </w:p>
        </w:tc>
        <w:tc>
          <w:tcPr>
            <w:tcW w:w="612" w:type="dxa"/>
            <w:shd w:val="clear" w:color="auto" w:fill="A9A9A9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color w:val="515967"/>
              </w:rPr>
              <w:t>M-1</w:t>
            </w:r>
            <w:r>
              <w:rPr>
                <w:rFonts w:ascii="Roboto Slab" w:hAnsi="Roboto Slab"/>
                <w:b/>
                <w:bCs/>
                <w:color w:val="515967"/>
              </w:rPr>
              <w:br/>
            </w:r>
          </w:p>
        </w:tc>
        <w:tc>
          <w:tcPr>
            <w:tcW w:w="612" w:type="dxa"/>
            <w:shd w:val="clear" w:color="auto" w:fill="A9A9A9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color w:val="515967"/>
              </w:rPr>
              <w:t>M-2</w:t>
            </w:r>
            <w:r>
              <w:rPr>
                <w:rFonts w:ascii="Roboto Slab" w:hAnsi="Roboto Slab"/>
                <w:b/>
                <w:bCs/>
                <w:color w:val="515967"/>
              </w:rPr>
              <w:br/>
            </w:r>
          </w:p>
        </w:tc>
        <w:tc>
          <w:tcPr>
            <w:tcW w:w="612" w:type="dxa"/>
            <w:shd w:val="clear" w:color="auto" w:fill="A9A9A9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color w:val="515967"/>
              </w:rPr>
              <w:t>M-3</w:t>
            </w:r>
            <w:r>
              <w:rPr>
                <w:rFonts w:ascii="Roboto Slab" w:hAnsi="Roboto Slab"/>
                <w:b/>
                <w:bCs/>
                <w:color w:val="515967"/>
              </w:rPr>
              <w:br/>
            </w:r>
          </w:p>
        </w:tc>
        <w:tc>
          <w:tcPr>
            <w:tcW w:w="4512" w:type="dxa"/>
            <w:shd w:val="clear" w:color="auto" w:fill="A9A9A9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color w:val="515967"/>
              </w:rPr>
              <w:t>SPECIAL REGULATIONS</w:t>
            </w:r>
          </w:p>
        </w:tc>
      </w:tr>
      <w:tr w:rsidR="009A18B8" w:rsidTr="009A18B8">
        <w:trPr>
          <w:trHeight w:val="284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Building maintenance services. </w:t>
            </w:r>
            <w:r>
              <w:rPr>
                <w:rFonts w:ascii="Roboto Slab" w:hAnsi="Roboto Slab"/>
                <w:color w:val="515967"/>
              </w:rPr>
              <w:t>Services for the maintenance of buildings.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Building material sales yard.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 See Section 104-21-4.</w:t>
            </w: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Conference or convention center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Contractor's equipment storage yard. </w:t>
            </w:r>
            <w:r>
              <w:rPr>
                <w:rFonts w:ascii="Roboto Slab" w:hAnsi="Roboto Slab"/>
                <w:color w:val="515967"/>
              </w:rPr>
              <w:t>A contractor's equipment storage yard or rental of equipment used by contractors. (Indoor or outdoor)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 </w:t>
            </w: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Fertilizer and soil conditioner. </w:t>
            </w:r>
            <w:r>
              <w:rPr>
                <w:rFonts w:ascii="Roboto Slab" w:hAnsi="Roboto Slab"/>
                <w:color w:val="515967"/>
              </w:rPr>
              <w:t>The manufacturing or processing of fertilizer and soil conditioner. (Indoor or outdoor)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 xml:space="preserve">No animal products or byproducts allowed to be used. </w:t>
            </w: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Gas station or convenient store. </w:t>
            </w:r>
            <w:r>
              <w:rPr>
                <w:rFonts w:ascii="Roboto Slab" w:hAnsi="Roboto Slab"/>
                <w:color w:val="515967"/>
              </w:rPr>
              <w:t>A gas station or convenience store, with accessory and incidental outdoor uses.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 </w:t>
            </w: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Laboratory. </w:t>
            </w:r>
            <w:r>
              <w:rPr>
                <w:rFonts w:ascii="Roboto Slab" w:hAnsi="Roboto Slab"/>
                <w:color w:val="515967"/>
              </w:rPr>
              <w:t>A laboratory.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 </w:t>
            </w: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Light office and warehouse combination.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Machine shop. </w:t>
            </w:r>
            <w:r>
              <w:rPr>
                <w:rFonts w:ascii="Roboto Slab" w:hAnsi="Roboto Slab"/>
                <w:color w:val="515967"/>
              </w:rPr>
              <w:t>A machine shop.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Medical and dental clinic.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Medical research facility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Metal working shop. </w:t>
            </w:r>
            <w:r>
              <w:rPr>
                <w:rFonts w:ascii="Roboto Slab" w:hAnsi="Roboto Slab"/>
                <w:color w:val="515967"/>
              </w:rPr>
              <w:t xml:space="preserve">Metal working, shaping, or assembling shop. 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Motion picture studio. </w:t>
            </w:r>
            <w:r>
              <w:rPr>
                <w:rFonts w:ascii="Roboto Slab" w:hAnsi="Roboto Slab"/>
                <w:color w:val="515967"/>
              </w:rPr>
              <w:t>A motion picture studio.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Motion picture studio, outdoor. </w:t>
            </w:r>
            <w:r>
              <w:rPr>
                <w:rFonts w:ascii="Roboto Slab" w:hAnsi="Roboto Slab"/>
                <w:color w:val="515967"/>
              </w:rPr>
              <w:t xml:space="preserve">An outdoor motion picture studio. 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Repairing of vehicles. </w:t>
            </w:r>
            <w:r>
              <w:rPr>
                <w:rFonts w:ascii="Roboto Slab" w:hAnsi="Roboto Slab"/>
                <w:color w:val="515967"/>
              </w:rPr>
              <w:t xml:space="preserve">The repairing of motor vehicles, trailers, bicycles, boats, and similar. 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C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0" w:type="auto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Research and development facilities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Retail facilities and services accessory to a main use.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>School, vocational or technical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</w:rPr>
              <w:t xml:space="preserve">Sandblasting. </w:t>
            </w:r>
            <w:r>
              <w:rPr>
                <w:rFonts w:ascii="Roboto Slab" w:hAnsi="Roboto Slab"/>
                <w:color w:val="515967"/>
              </w:rPr>
              <w:t xml:space="preserve">Sandblasting. 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</w:rPr>
            </w:pPr>
            <w:r>
              <w:rPr>
                <w:rFonts w:ascii="Roboto Slab" w:hAnsi="Roboto Slab"/>
                <w:color w:val="515967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9A18B8" w:rsidRDefault="009A18B8" w:rsidP="00C11AB5">
            <w:pPr>
              <w:spacing w:after="240"/>
              <w:rPr>
                <w:rFonts w:ascii="Roboto Slab" w:hAnsi="Roboto Slab"/>
                <w:color w:val="515967"/>
              </w:rPr>
            </w:pPr>
          </w:p>
        </w:tc>
      </w:tr>
      <w:tr w:rsidR="009A18B8" w:rsidTr="009A18B8">
        <w:trPr>
          <w:trHeight w:val="270"/>
        </w:trPr>
        <w:tc>
          <w:tcPr>
            <w:tcW w:w="673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9A18B8" w:rsidRPr="001B5433" w:rsidRDefault="009A18B8" w:rsidP="00C11AB5">
            <w:pPr>
              <w:spacing w:after="240"/>
              <w:rPr>
                <w:rStyle w:val="Strong"/>
                <w:rFonts w:ascii="Roboto Slab" w:hAnsi="Roboto Slab"/>
                <w:b w:val="0"/>
                <w:iCs/>
                <w:color w:val="515967"/>
                <w:highlight w:val="yellow"/>
              </w:rPr>
            </w:pPr>
            <w:r>
              <w:rPr>
                <w:rStyle w:val="Strong"/>
                <w:rFonts w:ascii="Roboto Slab" w:hAnsi="Roboto Slab"/>
                <w:i/>
                <w:iCs/>
                <w:color w:val="515967"/>
                <w:highlight w:val="yellow"/>
              </w:rPr>
              <w:t>Data Services</w:t>
            </w:r>
            <w:r w:rsidRPr="001B5433">
              <w:rPr>
                <w:rStyle w:val="Strong"/>
                <w:rFonts w:ascii="Roboto Slab" w:hAnsi="Roboto Slab"/>
                <w:i/>
                <w:iCs/>
                <w:color w:val="515967"/>
                <w:highlight w:val="yellow"/>
              </w:rPr>
              <w:t xml:space="preserve">. </w:t>
            </w:r>
            <w:r w:rsidRPr="001B5433">
              <w:rPr>
                <w:rStyle w:val="Strong"/>
                <w:rFonts w:ascii="Roboto Slab" w:hAnsi="Roboto Slab"/>
                <w:iCs/>
                <w:color w:val="515967"/>
                <w:highlight w:val="yellow"/>
              </w:rPr>
              <w:t>Data Center, Data Warehousing, Data Processing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9A18B8" w:rsidRPr="001B5433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  <w:highlight w:val="yellow"/>
              </w:rPr>
            </w:pPr>
            <w:r w:rsidRPr="001B5433">
              <w:rPr>
                <w:rFonts w:ascii="Roboto Slab" w:hAnsi="Roboto Slab"/>
                <w:color w:val="515967"/>
                <w:highlight w:val="yellow"/>
              </w:rPr>
              <w:t>P</w:t>
            </w:r>
          </w:p>
        </w:tc>
        <w:tc>
          <w:tcPr>
            <w:tcW w:w="615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9A18B8" w:rsidRPr="001B5433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  <w:highlight w:val="yellow"/>
              </w:rPr>
            </w:pPr>
            <w:r w:rsidRPr="001B5433">
              <w:rPr>
                <w:rFonts w:ascii="Roboto Slab" w:hAnsi="Roboto Slab"/>
                <w:color w:val="515967"/>
                <w:highlight w:val="yellow"/>
              </w:rPr>
              <w:t>N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9A18B8" w:rsidRPr="001B5433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  <w:highlight w:val="yellow"/>
              </w:rPr>
            </w:pPr>
            <w:r>
              <w:rPr>
                <w:rFonts w:ascii="Roboto Slab" w:hAnsi="Roboto Slab"/>
                <w:color w:val="515967"/>
                <w:highlight w:val="yellow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9A18B8" w:rsidRPr="001B5433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  <w:highlight w:val="yellow"/>
              </w:rPr>
            </w:pPr>
            <w:r>
              <w:rPr>
                <w:rFonts w:ascii="Roboto Slab" w:hAnsi="Roboto Slab"/>
                <w:color w:val="515967"/>
                <w:highlight w:val="yellow"/>
              </w:rPr>
              <w:t>P</w:t>
            </w:r>
          </w:p>
        </w:tc>
        <w:tc>
          <w:tcPr>
            <w:tcW w:w="6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9A18B8" w:rsidRPr="001B5433" w:rsidRDefault="009A18B8" w:rsidP="00C11AB5">
            <w:pPr>
              <w:spacing w:after="240"/>
              <w:jc w:val="center"/>
              <w:rPr>
                <w:rFonts w:ascii="Roboto Slab" w:hAnsi="Roboto Slab"/>
                <w:color w:val="515967"/>
                <w:highlight w:val="yellow"/>
              </w:rPr>
            </w:pPr>
            <w:r>
              <w:rPr>
                <w:rFonts w:ascii="Roboto Slab" w:hAnsi="Roboto Slab"/>
                <w:color w:val="515967"/>
                <w:highlight w:val="yellow"/>
              </w:rPr>
              <w:t>P</w:t>
            </w:r>
          </w:p>
        </w:tc>
        <w:tc>
          <w:tcPr>
            <w:tcW w:w="4512" w:type="dxa"/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9A18B8" w:rsidRPr="001B5433" w:rsidRDefault="009A18B8" w:rsidP="00C11AB5">
            <w:pPr>
              <w:spacing w:after="240"/>
              <w:rPr>
                <w:rFonts w:ascii="Roboto Slab" w:hAnsi="Roboto Slab"/>
                <w:color w:val="515967"/>
                <w:highlight w:val="yellow"/>
              </w:rPr>
            </w:pPr>
          </w:p>
        </w:tc>
      </w:tr>
    </w:tbl>
    <w:p w:rsidR="0083281D" w:rsidRDefault="0083281D" w:rsidP="009A18B8">
      <w:pPr>
        <w:ind w:left="-720"/>
      </w:pPr>
      <w:bookmarkStart w:id="0" w:name="_GoBack"/>
      <w:bookmarkEnd w:id="0"/>
    </w:p>
    <w:sectPr w:rsidR="0083281D" w:rsidSect="009A18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B8"/>
    <w:rsid w:val="0083281D"/>
    <w:rsid w:val="009A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5B77"/>
  <w15:chartTrackingRefBased/>
  <w15:docId w15:val="{14E45A51-069B-4763-9E2B-3D3C0039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1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18B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9A18B8"/>
    <w:pPr>
      <w:widowControl w:val="0"/>
      <w:autoSpaceDE w:val="0"/>
      <w:autoSpaceDN w:val="0"/>
      <w:spacing w:before="1" w:after="0" w:line="240" w:lineRule="auto"/>
      <w:ind w:left="8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A18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A18B8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9A1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er.municipalcodeonline.com/book?type=ordina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Cobabe,Bill</dc:creator>
  <cp:keywords/>
  <dc:description/>
  <cp:lastModifiedBy>Cobabe,Bill</cp:lastModifiedBy>
  <cp:revision>1</cp:revision>
  <dcterms:created xsi:type="dcterms:W3CDTF">2023-09-14T19:23:00Z</dcterms:created>
  <dcterms:modified xsi:type="dcterms:W3CDTF">2023-09-14T19:33:00Z</dcterms:modified>
</cp:coreProperties>
</file>